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45F3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11192"/>
      </w:tblGrid>
      <w:tr w:rsidR="002C26C2" w14:paraId="3CDC2861" w14:textId="77777777" w:rsidTr="00BE0346"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B60259D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228FC391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004E48C1" w14:textId="7777777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5649B4A2" w14:textId="340501DA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D21EC8">
              <w:rPr>
                <w:rFonts w:ascii="Arial" w:eastAsia="Arial Unicode MS" w:hAnsi="Arial" w:cs="Arial"/>
              </w:rPr>
              <w:t>/-</w:t>
            </w:r>
            <w:r>
              <w:rPr>
                <w:rFonts w:ascii="Arial" w:eastAsia="Arial Unicode MS" w:hAnsi="Arial" w:cs="Arial"/>
              </w:rPr>
              <w:t xml:space="preserve">in: </w:t>
            </w:r>
            <w:r w:rsidR="00B272F4">
              <w:rPr>
                <w:rFonts w:ascii="Arial" w:eastAsia="Arial Unicode MS" w:hAnsi="Arial" w:cs="Arial"/>
              </w:rPr>
              <w:t>Frau Strauch</w:t>
            </w:r>
          </w:p>
        </w:tc>
        <w:tc>
          <w:tcPr>
            <w:tcW w:w="11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A37E3F" w14:textId="461EDAA1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die einjährige Berufsfachschule Wirtschaft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2F257A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BDBD6A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Lernsituation im </w:t>
            </w:r>
          </w:p>
          <w:p w14:paraId="501894B3" w14:textId="5C417E94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Lernfeld-Nr.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 xml:space="preserve"> Büroprozesse organisieren und gestalten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5A0D8758" w14:textId="77777777" w:rsidR="00D21EC8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E1F86" w14:textId="2756DA93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</w:t>
            </w:r>
            <w:r w:rsidR="00BE03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BE03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Unterrichtswochen je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Wochenstunden =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</w:tr>
    </w:tbl>
    <w:tbl>
      <w:tblPr>
        <w:tblpPr w:leftFromText="141" w:rightFromText="141" w:vertAnchor="text" w:horzAnchor="margin" w:tblpY="1153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BE0346" w14:paraId="2A3C858F" w14:textId="77777777" w:rsidTr="005D7939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76045A8D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Lernsituation Nr.: 1</w:t>
            </w:r>
          </w:p>
          <w:p w14:paraId="2012CDA8" w14:textId="5980051E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1 -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C687862" w14:textId="701D1441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Stunden </w:t>
            </w:r>
          </w:p>
          <w:p w14:paraId="1EDEEC9E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692838E5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B9EAE" w14:textId="77777777" w:rsidR="00BE0346" w:rsidRDefault="00BE0346" w:rsidP="00BE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9A34BDC" w14:textId="77777777" w:rsidR="00BE0346" w:rsidRPr="00B272F4" w:rsidRDefault="00BE0346" w:rsidP="00BE034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8A1F7CF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CA593" w14:textId="77777777" w:rsidR="00BE0346" w:rsidRPr="00B272F4" w:rsidRDefault="00BE0346" w:rsidP="00BE03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7258EF63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493E3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540A4D18" w14:textId="77777777" w:rsidR="00BE0346" w:rsidRDefault="00BE0346" w:rsidP="00BE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BE0346" w14:paraId="5E250658" w14:textId="77777777" w:rsidTr="00BE0346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DC91BE" w14:textId="4E3B8B99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Abläufe gestalten</w:t>
            </w:r>
          </w:p>
          <w:p w14:paraId="1ED01B37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0C3C1" w14:textId="77777777" w:rsidR="00BE0346" w:rsidRDefault="00BE0346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173CED" w14:textId="48D616C8" w:rsidR="00BE0346" w:rsidRPr="00301226" w:rsidRDefault="00BE0346" w:rsidP="00BE03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der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BüRoCom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GmbH finden verschiedene Abläufe statt. Diese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Abäufe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sind mittels verschiedener Darstellungsmöglichkeiten darzustellen, z. B. das Beschwerdemanagement. </w:t>
            </w:r>
          </w:p>
          <w:p w14:paraId="0D892ECF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4" w:space="0" w:color="auto"/>
            </w:tcBorders>
          </w:tcPr>
          <w:p w14:paraId="62D58574" w14:textId="22C8A0A6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 w:rsidRPr="003F1F59">
              <w:rPr>
                <w:rFonts w:ascii="Arial" w:hAnsi="Arial" w:cs="Arial"/>
                <w:sz w:val="22"/>
                <w:szCs w:val="22"/>
              </w:rPr>
              <w:t xml:space="preserve">Bürowirtschaftliche Abläufe </w:t>
            </w:r>
          </w:p>
          <w:p w14:paraId="05C7B5BC" w14:textId="19E8A317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am Beispiel des Beschwerdemanagements</w:t>
            </w:r>
          </w:p>
          <w:p w14:paraId="346D8D35" w14:textId="77777777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6B624" w14:textId="102D725E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-Darstellungsmöglichkeiten von bürowirt-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schaftlichen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Abläufen</w:t>
            </w:r>
          </w:p>
          <w:p w14:paraId="58F10D69" w14:textId="77777777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EEA77" w14:textId="76AD5378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Beschreibende Darstellung</w:t>
            </w:r>
          </w:p>
          <w:p w14:paraId="7268123C" w14:textId="48B853DE" w:rsidR="00BE0346" w:rsidRDefault="00BE0346" w:rsidP="00BE0346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Anweisung</w:t>
            </w:r>
          </w:p>
          <w:p w14:paraId="62764B08" w14:textId="2C1A25FA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729FE" w14:textId="1349F7DC" w:rsidR="00BE0346" w:rsidRP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Grafische Darstellung</w:t>
            </w:r>
          </w:p>
          <w:p w14:paraId="4DB62591" w14:textId="62F2084B" w:rsidR="00BE0346" w:rsidRDefault="00BE0346" w:rsidP="00BE0346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Arbeitsablaufplan</w:t>
            </w:r>
          </w:p>
          <w:p w14:paraId="7A3511E4" w14:textId="25A77B37" w:rsidR="00BE0346" w:rsidRPr="00BE0346" w:rsidRDefault="00BE0346" w:rsidP="00BE0346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Flussdiagramm</w:t>
            </w:r>
          </w:p>
          <w:p w14:paraId="63AA0D8B" w14:textId="0CC56D78" w:rsidR="00BE0346" w:rsidRPr="003F1F59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0DD68815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A2F52DC" w14:textId="39031A45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 xml:space="preserve">Die Schülerinnen*Schüler die </w:t>
            </w:r>
            <w:r>
              <w:rPr>
                <w:rFonts w:ascii="Arial" w:hAnsi="Arial" w:cs="Arial"/>
                <w:sz w:val="20"/>
                <w:szCs w:val="20"/>
              </w:rPr>
              <w:t>identifizieren</w:t>
            </w:r>
            <w:r w:rsidRPr="00AB5935">
              <w:rPr>
                <w:rFonts w:ascii="Arial" w:hAnsi="Arial" w:cs="Arial"/>
                <w:sz w:val="20"/>
                <w:szCs w:val="20"/>
              </w:rPr>
              <w:t xml:space="preserve"> bürowirtschaftliche Abläufe</w:t>
            </w:r>
            <w:r>
              <w:rPr>
                <w:rFonts w:ascii="Arial" w:hAnsi="Arial" w:cs="Arial"/>
                <w:sz w:val="20"/>
                <w:szCs w:val="20"/>
              </w:rPr>
              <w:t>, z. B. bei der Bearbeitung von Beschwerden</w:t>
            </w:r>
          </w:p>
          <w:p w14:paraId="1EE0B90E" w14:textId="7A8103F9" w:rsidR="00BE0346" w:rsidRPr="00BE0346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kennen verschiedene Arten v</w:t>
            </w:r>
            <w:r>
              <w:rPr>
                <w:rFonts w:ascii="Arial" w:hAnsi="Arial" w:cs="Arial"/>
                <w:sz w:val="20"/>
                <w:szCs w:val="20"/>
              </w:rPr>
              <w:t>on Darstellungsmöglichkeiten von bürowirtschaftlichen Abläufen.</w:t>
            </w:r>
          </w:p>
          <w:p w14:paraId="2E281F16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43D5007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1B51334E" w14:textId="5769A246" w:rsidR="00BE0346" w:rsidRPr="00BE0346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entwickeln Verantwortungsbewusstsein für den sach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r w:rsidRPr="00AB5935">
              <w:rPr>
                <w:rFonts w:ascii="Arial" w:hAnsi="Arial" w:cs="Arial"/>
                <w:sz w:val="20"/>
                <w:szCs w:val="20"/>
              </w:rPr>
              <w:t xml:space="preserve">echten Umgang mit </w:t>
            </w:r>
            <w:r>
              <w:rPr>
                <w:rFonts w:ascii="Arial" w:hAnsi="Arial" w:cs="Arial"/>
                <w:sz w:val="20"/>
                <w:szCs w:val="20"/>
              </w:rPr>
              <w:t>Beschwerden</w:t>
            </w:r>
            <w:r w:rsidRPr="00AB59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9FCA6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06CE2075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2CBFEC2A" w14:textId="77777777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lösen gemeinsam auftretende Probleme und erkennen Notwendigkeit von Kompromissen.</w:t>
            </w:r>
          </w:p>
          <w:p w14:paraId="59D3E1EB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08EEC55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0800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760D4B4C" w14:textId="77777777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nutzen selbstständig Lehrbücher und Broschüren.</w:t>
            </w:r>
          </w:p>
          <w:p w14:paraId="770E9B51" w14:textId="77777777" w:rsidR="00BE0346" w:rsidRPr="00D5117A" w:rsidRDefault="00BE0346" w:rsidP="00BE0346">
            <w:pPr>
              <w:pStyle w:val="KeinLeerraum"/>
              <w:numPr>
                <w:ilvl w:val="0"/>
                <w:numId w:val="25"/>
              </w:numPr>
              <w:ind w:left="334"/>
            </w:pPr>
            <w:r w:rsidRPr="00AB5935">
              <w:rPr>
                <w:rFonts w:ascii="Arial" w:hAnsi="Arial" w:cs="Arial"/>
                <w:sz w:val="20"/>
                <w:szCs w:val="20"/>
              </w:rPr>
              <w:t>Sie werten die gewonnen Informationen aus und strukturieren diese in Übersichten und wenden Sie 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9643F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14377512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Lehrbücher</w:t>
            </w:r>
          </w:p>
          <w:p w14:paraId="10D4747F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4185F963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4BBD2F38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33C95288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4D70076B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Partnera</w:t>
            </w: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</w:t>
            </w:r>
          </w:p>
          <w:p w14:paraId="5DD96FCE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9A32D2A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0408A3B7" w14:textId="77777777" w:rsidR="00BE0346" w:rsidRPr="00AC62CF" w:rsidRDefault="00BE0346" w:rsidP="00BE034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5A7D55E8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1555887D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0D61E9C5" w14:textId="36E2186C" w:rsidR="00BE0346" w:rsidRDefault="00BE0346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Arbeitsablaufplan</w:t>
            </w:r>
          </w:p>
          <w:p w14:paraId="0051F38D" w14:textId="77777777" w:rsidR="00BE0346" w:rsidRDefault="00BE0346" w:rsidP="00BE0346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2FB923" w14:textId="4BB871D6" w:rsidR="00BE0346" w:rsidRP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</w:p>
          <w:p w14:paraId="12DA5CC1" w14:textId="17F00CBE" w:rsidR="00BE0346" w:rsidRPr="00BE0346" w:rsidRDefault="00BE0346" w:rsidP="00BE03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346">
              <w:rPr>
                <w:rFonts w:ascii="Arial" w:hAnsi="Arial" w:cs="Arial"/>
                <w:bCs/>
                <w:sz w:val="20"/>
                <w:szCs w:val="20"/>
              </w:rPr>
              <w:t>Flussdiagramm</w:t>
            </w:r>
          </w:p>
        </w:tc>
      </w:tr>
      <w:tr w:rsidR="00BE0346" w14:paraId="585C056C" w14:textId="77777777" w:rsidTr="00BE0346">
        <w:tc>
          <w:tcPr>
            <w:tcW w:w="1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9E40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73C1881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170AF1C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4527CBB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tbl>
            <w:tblPr>
              <w:tblW w:w="1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1"/>
              <w:gridCol w:w="4707"/>
              <w:gridCol w:w="4860"/>
              <w:gridCol w:w="3572"/>
            </w:tblGrid>
            <w:tr w:rsidR="00133A52" w14:paraId="5EAD0F35" w14:textId="77777777" w:rsidTr="005D7939">
              <w:trPr>
                <w:trHeight w:val="1104"/>
              </w:trPr>
              <w:tc>
                <w:tcPr>
                  <w:tcW w:w="27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6C86BA4" w14:textId="3AB19BED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Lernsituation Nr.: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  <w:p w14:paraId="31D653D6" w14:textId="6737788A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Unt.-woche: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  <w:p w14:paraId="065B09BE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ZRW: 10 Stunden </w:t>
                  </w:r>
                </w:p>
                <w:p w14:paraId="6D917F0F" w14:textId="77777777" w:rsidR="00133A52" w:rsidRPr="00E46586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Beschreibung</w:t>
                  </w:r>
                </w:p>
              </w:tc>
              <w:tc>
                <w:tcPr>
                  <w:tcW w:w="47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C455C5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1B08A8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Fachliche Inhalte</w:t>
                  </w:r>
                </w:p>
                <w:p w14:paraId="7C2807AC" w14:textId="77777777" w:rsidR="00133A52" w:rsidRPr="00E46586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lang w:eastAsia="de-DE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6BB3EE2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681F11" w14:textId="77777777" w:rsidR="00133A52" w:rsidRPr="00E46586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Angestrebte Kompetenzen</w:t>
                  </w:r>
                </w:p>
              </w:tc>
              <w:tc>
                <w:tcPr>
                  <w:tcW w:w="35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7CCD81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E4B14B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Method.-didaktisches Vorgehen</w:t>
                  </w:r>
                </w:p>
                <w:p w14:paraId="2B726583" w14:textId="77777777" w:rsidR="00133A52" w:rsidRPr="00E46586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Organisatorische Absprachen</w:t>
                  </w:r>
                </w:p>
              </w:tc>
            </w:tr>
            <w:tr w:rsidR="00133A52" w14:paraId="3C83B531" w14:textId="77777777" w:rsidTr="005D7939">
              <w:trPr>
                <w:trHeight w:val="1930"/>
              </w:trPr>
              <w:tc>
                <w:tcPr>
                  <w:tcW w:w="278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02D3C12" w14:textId="77777777" w:rsidR="00133A52" w:rsidRPr="00344FA9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44FA9">
                    <w:rPr>
                      <w:rFonts w:ascii="Arial" w:hAnsi="Arial" w:cs="Arial"/>
                      <w:b/>
                    </w:rPr>
                    <w:t>Termine koordinieren und überwachen</w:t>
                  </w:r>
                </w:p>
                <w:p w14:paraId="526653E2" w14:textId="77777777" w:rsidR="00133A52" w:rsidRPr="00344FA9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</w:rPr>
                  </w:pPr>
                </w:p>
                <w:p w14:paraId="3AACDAAC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1158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Einstiegssituation:</w:t>
                  </w:r>
                </w:p>
                <w:p w14:paraId="144DBC99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</w:p>
                <w:p w14:paraId="0548F155" w14:textId="612FD79D" w:rsidR="00133A52" w:rsidRPr="00740708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Als </w:t>
                  </w:r>
                  <w:r w:rsidRPr="005264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Praktikantin*Praktikant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in der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Verkaufs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abteilung der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BüRoComfort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GmbH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werden Sie mit folgenden Situationen konfrontiert: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Die Verkaufsstatistik muss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jeden Montag vorgelegt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werden.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Der Abteilungsleiter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ist die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gesamte nächste Woche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Dienstreise.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Der Kunde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Herr Wegner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erwartet bis Mitte nächster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Woche ein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Angebot.</w:t>
                  </w:r>
                </w:p>
                <w:p w14:paraId="5A5F02C0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14:paraId="09F9546C" w14:textId="77777777" w:rsidR="00133A52" w:rsidRPr="00740708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Sie f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ühren Sie den Terminkalender für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Abteilungsleiter </w:t>
                  </w:r>
                  <w:r w:rsidRPr="007407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und </w:t>
                  </w:r>
                  <w:proofErr w:type="spellStart"/>
                  <w:r w:rsidRPr="007407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ko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  <w:r w:rsidRPr="007407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ordinieren und überwachen Termine und erstellen Terminpläne unter Berücksichtigung verschiedener Terminarten.</w:t>
                  </w:r>
                </w:p>
                <w:p w14:paraId="3D287074" w14:textId="77777777" w:rsidR="00133A52" w:rsidRPr="00740708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36ED4FA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12" w:space="0" w:color="auto"/>
                  </w:tcBorders>
                </w:tcPr>
                <w:p w14:paraId="5DED558F" w14:textId="77777777" w:rsidR="00133A52" w:rsidRPr="00344FA9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44FA9">
                    <w:rPr>
                      <w:rFonts w:ascii="Arial" w:hAnsi="Arial" w:cs="Arial"/>
                    </w:rPr>
                    <w:t>Terminarten</w:t>
                  </w:r>
                </w:p>
                <w:p w14:paraId="74F82783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Beweglichkeit</w:t>
                  </w:r>
                </w:p>
                <w:p w14:paraId="6F10C140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Bedeutung</w:t>
                  </w:r>
                </w:p>
                <w:p w14:paraId="70D2AD68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Funktion bei der Terminüberwachung</w:t>
                  </w:r>
                </w:p>
                <w:p w14:paraId="5D53640B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Fristen</w:t>
                  </w:r>
                </w:p>
                <w:p w14:paraId="6331DE2C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dem Verhältnis zur Arbeit</w:t>
                  </w:r>
                </w:p>
                <w:p w14:paraId="0B253892" w14:textId="77777777" w:rsidR="00133A52" w:rsidRPr="00E60F4C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dem Ort des Termins</w:t>
                  </w:r>
                </w:p>
                <w:p w14:paraId="2DF7F2CF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</w:p>
                <w:p w14:paraId="1C2ACAC4" w14:textId="77777777" w:rsidR="00133A52" w:rsidRPr="00344FA9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  <w:r w:rsidRPr="00344FA9">
                    <w:rPr>
                      <w:rFonts w:ascii="Arial" w:hAnsi="Arial" w:cs="Arial"/>
                    </w:rPr>
                    <w:t>Hilfsmittel der Terminplanung und Terminüberwachung</w:t>
                  </w:r>
                </w:p>
                <w:p w14:paraId="30B17355" w14:textId="77777777" w:rsidR="00133A52" w:rsidRPr="00344FA9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2A24B36" w14:textId="77777777" w:rsidR="00133A52" w:rsidRPr="00C3394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Fachkompetenz</w:t>
                  </w:r>
                </w:p>
                <w:p w14:paraId="472C2D75" w14:textId="77777777" w:rsidR="00133A52" w:rsidRPr="0044371B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Schülerinnen*Schüler kennen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Terminarten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und wählen </w:t>
                  </w:r>
                  <w:r w:rsidRPr="0044371B">
                    <w:rPr>
                      <w:rFonts w:ascii="Arial" w:hAnsi="Arial" w:cs="Arial"/>
                      <w:sz w:val="22"/>
                      <w:szCs w:val="22"/>
                    </w:rPr>
                    <w:t>geeignete Hilfsmittel zur Koordinierung und Überwachung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von Terminen aus.</w:t>
                  </w:r>
                </w:p>
                <w:p w14:paraId="04D8CF5A" w14:textId="77777777" w:rsidR="00133A52" w:rsidRPr="00C3394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976E1D" w14:textId="77777777" w:rsidR="00133A52" w:rsidRPr="00C3394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Selbstkompetenz</w:t>
                  </w:r>
                </w:p>
                <w:p w14:paraId="28680DC7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Schülerinnen*Schüler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entwickeln eine gewissenhafte Arbeitshaltung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</w:p>
                <w:p w14:paraId="3AE54A75" w14:textId="77777777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>arbeiten zuverlässig und exakt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9664911" w14:textId="77777777" w:rsidR="00133A52" w:rsidRPr="0044371B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Sie arbeiten wertschätzend gegenüber Kommunikationspartnern.</w:t>
                  </w:r>
                </w:p>
                <w:p w14:paraId="340DCD7E" w14:textId="77777777" w:rsidR="00133A52" w:rsidRPr="00C3394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913D15" w14:textId="77777777" w:rsidR="00133A52" w:rsidRPr="00C3394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Sozialkompetenz</w:t>
                  </w:r>
                </w:p>
                <w:p w14:paraId="2EE10E18" w14:textId="77777777" w:rsidR="00133A52" w:rsidRPr="00C33945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>Sie berücksichtigen bei der Terminplanung Befindlichkeiten und Bedürfnisse der Beteiligten</w:t>
                  </w:r>
                </w:p>
                <w:p w14:paraId="0AE682CB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48345194" w14:textId="77777777" w:rsidR="00133A52" w:rsidRPr="00072754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sz w:val="20"/>
                    </w:rPr>
                  </w:pPr>
                  <w:r w:rsidRPr="00072754">
                    <w:rPr>
                      <w:rFonts w:ascii="Arial" w:hAnsi="Arial" w:cs="Arial"/>
                      <w:i/>
                      <w:sz w:val="20"/>
                    </w:rPr>
                    <w:t>Lern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-, Methoden- und kommunikative K</w:t>
                  </w:r>
                  <w:r w:rsidRPr="00072754">
                    <w:rPr>
                      <w:rFonts w:ascii="Arial" w:hAnsi="Arial" w:cs="Arial"/>
                      <w:i/>
                      <w:sz w:val="20"/>
                    </w:rPr>
                    <w:t>ompetenz</w:t>
                  </w:r>
                </w:p>
                <w:p w14:paraId="1A2A7E93" w14:textId="77777777" w:rsidR="00133A52" w:rsidRDefault="00133A52" w:rsidP="00133A52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Die Schülerinnen*Schüler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wenden die gewonnenen Informationen auch auf die eigene Terminplanung an.</w:t>
                  </w:r>
                </w:p>
                <w:p w14:paraId="6B467EC7" w14:textId="77777777" w:rsidR="00133A52" w:rsidRPr="00C33945" w:rsidRDefault="00133A52" w:rsidP="00133A52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Sie fertigen eine Gedankenlandkarte an.</w:t>
                  </w:r>
                </w:p>
                <w:p w14:paraId="0A7A8D09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8145BF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Bereitstellung</w:t>
                  </w:r>
                </w:p>
                <w:p w14:paraId="6C5D820E" w14:textId="77777777" w:rsidR="00133A52" w:rsidRPr="000F711E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11E">
                    <w:rPr>
                      <w:rFonts w:ascii="Arial" w:hAnsi="Arial" w:cs="Arial"/>
                      <w:sz w:val="20"/>
                      <w:szCs w:val="20"/>
                    </w:rPr>
                    <w:t>Lehrbuch</w:t>
                  </w:r>
                </w:p>
                <w:p w14:paraId="5A5352D6" w14:textId="77777777" w:rsidR="00133A52" w:rsidRPr="000F711E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9DD068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4650F881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Sozialformen</w:t>
                  </w:r>
                </w:p>
                <w:p w14:paraId="2B5A34B9" w14:textId="77777777" w:rsidR="00133A52" w:rsidRPr="0072633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- Lehrervortrag</w:t>
                  </w:r>
                </w:p>
                <w:p w14:paraId="3EA5581A" w14:textId="77777777" w:rsidR="00133A52" w:rsidRPr="00726335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Einzelarbeit</w:t>
                  </w:r>
                </w:p>
                <w:p w14:paraId="6831AE71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54FE0C73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Unterrichtsmethoden</w:t>
                  </w:r>
                </w:p>
                <w:p w14:paraId="31308B18" w14:textId="77777777" w:rsidR="00133A52" w:rsidRDefault="00133A52" w:rsidP="00133A52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analytisch- synthetische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Unterrichtsmethode</w:t>
                  </w:r>
                </w:p>
                <w:p w14:paraId="2E54E01A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09260AC2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Ergebnisse</w:t>
                  </w:r>
                </w:p>
                <w:p w14:paraId="137768A1" w14:textId="59785771" w:rsidR="00133A52" w:rsidRDefault="00133A52" w:rsidP="00133A52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3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selbstständiges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Führen und Einhalten eines eigenen Kalenders</w:t>
                  </w:r>
                  <w:r w:rsidRPr="00E73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6F5AC25" w14:textId="77777777" w:rsidR="00133A52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9DA0877" w14:textId="7FB3861C" w:rsidR="00133A52" w:rsidRPr="00621E44" w:rsidRDefault="00133A52" w:rsidP="00133A52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A3A5A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55B9847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45F457DC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08F5609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1621B13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2B2B905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C52ED96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4B49FFA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449C07B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1F5C3A63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7092BB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119431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301AF2B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89507E1" w14:textId="71BA5D7C" w:rsidR="00133A52" w:rsidRPr="00AC62CF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</w:tc>
      </w:tr>
      <w:tr w:rsidR="00AB5935" w14:paraId="6DE413BA" w14:textId="77777777" w:rsidTr="00BE0346">
        <w:trPr>
          <w:trHeight w:val="950"/>
        </w:trPr>
        <w:tc>
          <w:tcPr>
            <w:tcW w:w="2781" w:type="dxa"/>
            <w:tcBorders>
              <w:top w:val="single" w:sz="4" w:space="0" w:color="auto"/>
              <w:left w:val="single" w:sz="12" w:space="0" w:color="auto"/>
            </w:tcBorders>
          </w:tcPr>
          <w:p w14:paraId="7C1639CC" w14:textId="61879213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BB44AC1" w14:textId="303F2902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16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 xml:space="preserve"> - 26</w:t>
            </w:r>
          </w:p>
          <w:p w14:paraId="4EA4D3DC" w14:textId="2B1A8F41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16 Stunden </w:t>
            </w:r>
          </w:p>
          <w:p w14:paraId="2460819B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558D341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D2414" w14:textId="77777777" w:rsidR="00AB5935" w:rsidRDefault="00AB5935" w:rsidP="00BE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C4DE756" w14:textId="77777777" w:rsidR="00AB5935" w:rsidRPr="00B272F4" w:rsidRDefault="00AB5935" w:rsidP="00BE034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3B0A070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7CC7E" w14:textId="77777777" w:rsidR="00AB5935" w:rsidRPr="00B272F4" w:rsidRDefault="00AB5935" w:rsidP="00BE03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4" w:space="0" w:color="auto"/>
              <w:right w:val="single" w:sz="12" w:space="0" w:color="auto"/>
            </w:tcBorders>
          </w:tcPr>
          <w:p w14:paraId="783CD583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7F754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08382B5C" w14:textId="77777777" w:rsidR="00AB5935" w:rsidRDefault="00AB5935" w:rsidP="00BE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AB5935" w14:paraId="485EDBBE" w14:textId="77777777" w:rsidTr="00BE0346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D5C652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Post bearbeiten</w:t>
            </w:r>
          </w:p>
          <w:p w14:paraId="61262C73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430DD" w14:textId="77777777" w:rsidR="00AB5935" w:rsidRDefault="00AB5935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535624" w14:textId="51228443" w:rsidR="00AB5935" w:rsidRDefault="00AB5935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Kollegin Allner aus der Allgemeinen Verwaltung ist erkrankt. Sie ist in der </w:t>
            </w:r>
            <w:proofErr w:type="spellStart"/>
            <w:r w:rsidR="00133A52">
              <w:rPr>
                <w:rFonts w:ascii="Arial" w:hAnsi="Arial" w:cs="Arial"/>
                <w:bCs/>
                <w:sz w:val="20"/>
                <w:szCs w:val="20"/>
              </w:rPr>
              <w:t>BüRoComfort</w:t>
            </w:r>
            <w:proofErr w:type="spellEnd"/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GmbH für die Bearbeitung der Ein- und Ausgangspost zuständig. Als Praktikant*Praktikantin</w:t>
            </w:r>
          </w:p>
          <w:p w14:paraId="2A1C8456" w14:textId="77777777" w:rsidR="00AB5935" w:rsidRPr="00301226" w:rsidRDefault="00AB5935" w:rsidP="00BE03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erhalten Sie für die nächsten zwei Tage die Vollmacht, ihre Aufgaben zu übernehmen.</w:t>
            </w:r>
            <w:r w:rsidRPr="00301226">
              <w:rPr>
                <w:rFonts w:ascii="Arial" w:hAnsi="Arial" w:cs="Arial"/>
                <w:bCs/>
              </w:rPr>
              <w:t xml:space="preserve"> </w:t>
            </w:r>
          </w:p>
          <w:p w14:paraId="230DA83E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5DFC138F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 w:rsidRPr="003F1F59">
              <w:rPr>
                <w:rFonts w:ascii="Arial" w:hAnsi="Arial" w:cs="Arial"/>
                <w:sz w:val="22"/>
                <w:szCs w:val="22"/>
              </w:rPr>
              <w:t xml:space="preserve">Bürowirtschaftliche Abläufe bei der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Pr="003F1F59">
              <w:rPr>
                <w:rFonts w:ascii="Arial" w:hAnsi="Arial" w:cs="Arial"/>
                <w:sz w:val="22"/>
                <w:szCs w:val="22"/>
              </w:rPr>
              <w:t>Bearbeitung der Ein- und Ausgangspost</w:t>
            </w:r>
          </w:p>
          <w:p w14:paraId="2A874844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C2116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Vollmachten (Handlungsvollmacht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als Art- und Spezialvollmacht,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Untervollmacht)</w:t>
            </w:r>
          </w:p>
          <w:p w14:paraId="57BE0E4D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377A7D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 xml:space="preserve">- Vorschriften für das Öffnen der eingehenden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Pr="003F1F59"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3862D112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B7A34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 xml:space="preserve">- Wahl der zweckmäßigen Sendungsarten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Pr="003F1F59">
              <w:rPr>
                <w:rFonts w:ascii="Arial" w:hAnsi="Arial" w:cs="Arial"/>
                <w:sz w:val="22"/>
                <w:szCs w:val="22"/>
              </w:rPr>
              <w:t>und Versendungsformen</w:t>
            </w:r>
          </w:p>
          <w:p w14:paraId="678BEE7C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903D4" w14:textId="77777777" w:rsidR="00AB5935" w:rsidRPr="003F1F59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>- Möglichkeiten der Frankierung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224D4B9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6A01AF05" w14:textId="03D0B8A3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die Anforderungen an bürowirtschaftliche Abläufe der Bearbeitung der Ein- und Ausgangspost. Sie unterscheiden die Bearbeitung von Brief- und E-Mail-Post.</w:t>
            </w:r>
          </w:p>
          <w:p w14:paraId="5DA44FA5" w14:textId="512C570F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kennen verschiedene Arten von Vollmachten.</w:t>
            </w:r>
          </w:p>
          <w:p w14:paraId="03905E50" w14:textId="0F4B7289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wenden zweckmäßige Sendungsarten und Versendungsformen an.</w:t>
            </w:r>
          </w:p>
          <w:p w14:paraId="547ECFB8" w14:textId="10B0CD1E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Möglichkeiten der Frankierung sind ihnen bekannt.</w:t>
            </w:r>
          </w:p>
          <w:p w14:paraId="1FF3A993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1BD3D2C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3E0B9D8" w14:textId="5984E0AF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entwickeln Verantwortungsbewusstsein für den sach</w:t>
            </w:r>
            <w:r w:rsidR="00606A97">
              <w:rPr>
                <w:rFonts w:ascii="Arial" w:hAnsi="Arial" w:cs="Arial"/>
                <w:sz w:val="20"/>
                <w:szCs w:val="20"/>
              </w:rPr>
              <w:t>ger</w:t>
            </w:r>
            <w:r w:rsidRPr="00AB5935">
              <w:rPr>
                <w:rFonts w:ascii="Arial" w:hAnsi="Arial" w:cs="Arial"/>
                <w:sz w:val="20"/>
                <w:szCs w:val="20"/>
              </w:rPr>
              <w:t>echten Umgang mit der Post.</w:t>
            </w:r>
          </w:p>
          <w:p w14:paraId="4F466CC8" w14:textId="1DB75CB5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halten den Handlungsspielraum ein, der ihnen durch eine Vollmacht erteilt wird.</w:t>
            </w:r>
          </w:p>
          <w:p w14:paraId="5BC82246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27D7CDAB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1CF9E4BA" w14:textId="10BBCA76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lösen gemeinsam auftretende Probleme und erkennen Notwendigkeit von Kompromissen.</w:t>
            </w:r>
          </w:p>
          <w:p w14:paraId="39C8719D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9BB56CC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0800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2FDA3E2" w14:textId="04FF89ED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nutzen selbstständig Lehrbücher und Broschüren.</w:t>
            </w:r>
          </w:p>
          <w:p w14:paraId="5784CB6C" w14:textId="27093A96" w:rsidR="00AB5935" w:rsidRPr="00D5117A" w:rsidRDefault="00AB5935" w:rsidP="00BE0346">
            <w:pPr>
              <w:pStyle w:val="KeinLeerraum"/>
              <w:numPr>
                <w:ilvl w:val="0"/>
                <w:numId w:val="25"/>
              </w:numPr>
              <w:ind w:left="334"/>
            </w:pPr>
            <w:r w:rsidRPr="00AB5935">
              <w:rPr>
                <w:rFonts w:ascii="Arial" w:hAnsi="Arial" w:cs="Arial"/>
                <w:sz w:val="20"/>
                <w:szCs w:val="20"/>
              </w:rPr>
              <w:t>Sie werten die gewonnen Informationen aus und strukturieren diese in Übersichten und wenden Sie 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CE287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7E0B1BE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Lehrbücher</w:t>
            </w:r>
          </w:p>
          <w:p w14:paraId="0B3B267F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Broschüren</w:t>
            </w:r>
          </w:p>
          <w:p w14:paraId="7740900E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Internet: Portokalkulator</w:t>
            </w:r>
          </w:p>
          <w:p w14:paraId="02E35297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65E414BD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9FC851B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678B439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64AD999A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Partnera</w:t>
            </w: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</w:t>
            </w:r>
          </w:p>
          <w:p w14:paraId="72EA924B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BFB2FE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5E6A4122" w14:textId="77777777" w:rsidR="00AB5935" w:rsidRPr="00AC62CF" w:rsidRDefault="00AB5935" w:rsidP="00BE034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2D518B5F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C5C8312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741D0EEB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1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Übersicht über die Postbearbeitung</w:t>
            </w:r>
          </w:p>
          <w:p w14:paraId="19D25538" w14:textId="77777777" w:rsidR="00AB5935" w:rsidRDefault="00AB5935" w:rsidP="00BE0346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1C04F5" w14:textId="77777777" w:rsidR="00AB5935" w:rsidRPr="00D5117A" w:rsidRDefault="00AB5935" w:rsidP="00BE034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Test mit folgenden Anforderungen: </w:t>
            </w:r>
          </w:p>
          <w:p w14:paraId="0EF70D03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8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Eingangspost nach Vorschriften für das Öffnen sortiert</w:t>
            </w:r>
          </w:p>
          <w:p w14:paraId="36BAF60C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Zweckmäßige Sendungsarten und Versendungsformen für ausgehende Schriftstücke ausgewählt</w:t>
            </w:r>
          </w:p>
          <w:p w14:paraId="61EFD22C" w14:textId="746DC4D0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Porto für ausgehende Schriftstücke ermittelt</w:t>
            </w:r>
          </w:p>
        </w:tc>
      </w:tr>
    </w:tbl>
    <w:p w14:paraId="40E98EFE" w14:textId="4CE2DE78" w:rsidR="00AB5935" w:rsidRPr="00AB5935" w:rsidRDefault="00AB5935" w:rsidP="00AB5935"/>
    <w:p w14:paraId="69CF1E64" w14:textId="171CEB4D" w:rsidR="00AB5935" w:rsidRDefault="00AB5935"/>
    <w:tbl>
      <w:tblPr>
        <w:tblpPr w:leftFromText="141" w:rightFromText="141" w:vertAnchor="text" w:horzAnchor="margin" w:tblpY="17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600800" w14:paraId="07391E3B" w14:textId="77777777" w:rsidTr="00600800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3F9721A5" w14:textId="6480CDBD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261677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3F29581" w14:textId="71C5B691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27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 xml:space="preserve"> - 34</w:t>
            </w:r>
          </w:p>
          <w:p w14:paraId="2C5E322F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10 Stunden </w:t>
            </w:r>
          </w:p>
          <w:p w14:paraId="34B7F105" w14:textId="77777777" w:rsidR="00600800" w:rsidRPr="00AC62CF" w:rsidRDefault="00600800" w:rsidP="006008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0FA60C49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1FA39" w14:textId="77777777" w:rsidR="00600800" w:rsidRDefault="00600800" w:rsidP="00600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48595544" w14:textId="77777777" w:rsidR="00600800" w:rsidRPr="00AC62CF" w:rsidRDefault="00600800" w:rsidP="0060080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628F596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233D7" w14:textId="77777777" w:rsidR="00600800" w:rsidRPr="00726335" w:rsidRDefault="00600800" w:rsidP="006008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2E6B895C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1687C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7592439F" w14:textId="77777777" w:rsidR="00600800" w:rsidRPr="00AC62CF" w:rsidRDefault="00600800" w:rsidP="0060080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bookmarkEnd w:id="0"/>
      <w:tr w:rsidR="00600800" w:rsidRPr="00301226" w14:paraId="69E473B3" w14:textId="77777777" w:rsidTr="00600800">
        <w:trPr>
          <w:trHeight w:val="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96D77" w14:textId="77777777" w:rsidR="00600800" w:rsidRPr="00301226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226">
              <w:rPr>
                <w:rFonts w:ascii="Arial" w:hAnsi="Arial" w:cs="Arial"/>
                <w:b/>
                <w:sz w:val="20"/>
                <w:szCs w:val="20"/>
              </w:rPr>
              <w:t>Schriftstücke normgerecht ordnen und aufbewahren</w:t>
            </w:r>
          </w:p>
          <w:p w14:paraId="5CF93244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A31D8" w14:textId="77777777" w:rsidR="00600800" w:rsidRPr="0011158F" w:rsidRDefault="00600800" w:rsidP="0060080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5270ED3" w14:textId="4DB0F589" w:rsidR="00600800" w:rsidRPr="005264CF" w:rsidRDefault="00600800" w:rsidP="006008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Als Praktikantin*Praktikant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der Allgemeinen Verwaltung 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proofErr w:type="spellStart"/>
            <w:r w:rsidR="00133A52">
              <w:rPr>
                <w:rFonts w:ascii="Arial" w:hAnsi="Arial" w:cs="Arial"/>
                <w:bCs/>
                <w:sz w:val="20"/>
                <w:szCs w:val="20"/>
              </w:rPr>
              <w:t>BüRoComfort</w:t>
            </w:r>
            <w:proofErr w:type="spellEnd"/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GmbH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sind </w:t>
            </w:r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mit der Aufbewahrung verschiedener Schriftstücke beauftragt worden. Dazu beschäftigen sie sich zunächst mit den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gesetzlichen und betrieblichen Vorschriften für die Ordnung und Aufbewahrung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dieser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Schriftstücke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667088F2" w14:textId="77777777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Wertigkeit von Schriftstücken</w:t>
            </w:r>
          </w:p>
          <w:p w14:paraId="06429305" w14:textId="77777777" w:rsidR="00600800" w:rsidRPr="00D5117A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5117A">
              <w:rPr>
                <w:rFonts w:ascii="Arial" w:hAnsi="Arial" w:cs="Arial"/>
                <w:bCs/>
                <w:sz w:val="22"/>
                <w:szCs w:val="22"/>
              </w:rPr>
              <w:t xml:space="preserve">Gesetzliche Vorschriften zu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D5117A">
              <w:rPr>
                <w:rFonts w:ascii="Arial" w:hAnsi="Arial" w:cs="Arial"/>
                <w:bCs/>
                <w:sz w:val="22"/>
                <w:szCs w:val="22"/>
              </w:rPr>
              <w:t>ufbewahrungsfristen</w:t>
            </w:r>
          </w:p>
          <w:p w14:paraId="430ED7E5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Aufbewahrungsort</w:t>
            </w:r>
          </w:p>
          <w:p w14:paraId="2B7D450F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Aktenarten</w:t>
            </w:r>
          </w:p>
          <w:p w14:paraId="7FCF1441" w14:textId="44E38CCA" w:rsidR="00600800" w:rsidRPr="00645EB9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Registraturformen</w:t>
            </w:r>
          </w:p>
          <w:p w14:paraId="46491094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Ordnungssysteme</w:t>
            </w:r>
          </w:p>
          <w:p w14:paraId="7C0DC71E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Aktenplan/ Schriftgutkatalog</w:t>
            </w:r>
          </w:p>
          <w:p w14:paraId="379CC36F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Datensicherung und –</w:t>
            </w:r>
            <w:proofErr w:type="spellStart"/>
            <w:r w:rsidRPr="00301226">
              <w:rPr>
                <w:rFonts w:ascii="Arial" w:hAnsi="Arial" w:cs="Arial"/>
                <w:bCs/>
                <w:sz w:val="22"/>
                <w:szCs w:val="22"/>
              </w:rPr>
              <w:t>aktualisierung</w:t>
            </w:r>
            <w:proofErr w:type="spellEnd"/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digitaler Medien</w:t>
            </w:r>
          </w:p>
          <w:p w14:paraId="140244C8" w14:textId="77777777" w:rsidR="00600800" w:rsidRPr="00645EB9" w:rsidRDefault="00600800" w:rsidP="00600800">
            <w:pPr>
              <w:rPr>
                <w:rFonts w:ascii="Arial" w:eastAsia="Times New Roman" w:hAnsi="Arial" w:cs="Arial"/>
                <w:bCs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6155CC3" w14:textId="77777777" w:rsidR="00600800" w:rsidRPr="00301226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Fachkompetenz</w:t>
            </w:r>
          </w:p>
          <w:p w14:paraId="6C946FD7" w14:textId="77777777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sind informiert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>, welche Schriftstücke wo und wie aufbewahrt werden müssen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593847E" w14:textId="77777777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 kennen die Aufbewahrungsfristen.</w:t>
            </w:r>
          </w:p>
          <w:p w14:paraId="574E9323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 entwerfen eine Arbeitsanweisung zur Aufbewahrung von Schriftstücken.</w:t>
            </w:r>
          </w:p>
          <w:p w14:paraId="7C6F9CD9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E129B1" w14:textId="77777777" w:rsidR="00600800" w:rsidRPr="00301226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Selbstkompetenz</w:t>
            </w:r>
          </w:p>
          <w:p w14:paraId="390944B1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beurteilen selbstkritisch ihren Umgang mit Rechtsvorschriften sowie Maßnahmen zur elektronischen Archivierung.</w:t>
            </w:r>
          </w:p>
          <w:p w14:paraId="339D0887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5CEECC" w14:textId="77777777" w:rsidR="00600800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Sozialkompetenz</w:t>
            </w:r>
          </w:p>
          <w:p w14:paraId="4A41D416" w14:textId="77777777" w:rsidR="00600800" w:rsidRPr="00740708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40708">
              <w:rPr>
                <w:rFonts w:ascii="Arial" w:hAnsi="Arial" w:cs="Arial"/>
                <w:bCs/>
                <w:sz w:val="22"/>
                <w:szCs w:val="22"/>
              </w:rPr>
              <w:t>Die Schülerinnen*Schüler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erarbeiten gemeinsam eine Arbeitsanweisung zur Aufbewahrung von Schriftstücken.</w:t>
            </w:r>
          </w:p>
          <w:p w14:paraId="5A7230E0" w14:textId="77777777" w:rsidR="00600800" w:rsidRPr="00645EB9" w:rsidRDefault="00600800" w:rsidP="0060080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</w:p>
          <w:p w14:paraId="69C9D5E4" w14:textId="77777777" w:rsidR="00600800" w:rsidRPr="00072754" w:rsidRDefault="00600800" w:rsidP="00600800">
            <w:pPr>
              <w:rPr>
                <w:rFonts w:ascii="Arial" w:hAnsi="Arial" w:cs="Arial"/>
                <w:i/>
                <w:sz w:val="20"/>
              </w:rPr>
            </w:pPr>
            <w:r w:rsidRPr="00072754">
              <w:rPr>
                <w:rFonts w:ascii="Arial" w:hAnsi="Arial" w:cs="Arial"/>
                <w:i/>
                <w:sz w:val="20"/>
              </w:rPr>
              <w:t>Lern</w:t>
            </w:r>
            <w:r>
              <w:rPr>
                <w:rFonts w:ascii="Arial" w:hAnsi="Arial" w:cs="Arial"/>
                <w:i/>
                <w:sz w:val="20"/>
              </w:rPr>
              <w:t>-, Methoden- und kommunikative K</w:t>
            </w:r>
            <w:r w:rsidRPr="00072754">
              <w:rPr>
                <w:rFonts w:ascii="Arial" w:hAnsi="Arial" w:cs="Arial"/>
                <w:i/>
                <w:sz w:val="20"/>
              </w:rPr>
              <w:t>ompetenz</w:t>
            </w:r>
          </w:p>
          <w:p w14:paraId="7F1F87D5" w14:textId="77777777" w:rsidR="00600800" w:rsidRDefault="00600800" w:rsidP="00600800">
            <w:pPr>
              <w:numPr>
                <w:ilvl w:val="0"/>
                <w:numId w:val="20"/>
              </w:numPr>
              <w:ind w:left="334" w:hanging="283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 w:rsidRPr="00301226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recherchieren 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ie</w:t>
            </w:r>
            <w:r w:rsidRPr="00301226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aktuellen rechtlichen Grundlagen im Internet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und nutzen diese zur Erarbeitung einer Arbeitsanweisung und von Übersichten.</w:t>
            </w:r>
          </w:p>
          <w:p w14:paraId="091D6C39" w14:textId="387E314A" w:rsidR="00600800" w:rsidRPr="00133A52" w:rsidRDefault="00600800" w:rsidP="00600800">
            <w:pPr>
              <w:numPr>
                <w:ilvl w:val="0"/>
                <w:numId w:val="20"/>
              </w:numPr>
              <w:ind w:left="334" w:hanging="283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Sie vergleichen unterschiedliche Arbeitsanweisungen nach vorgegebenen Aspekten und geben ein Feedback.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704B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0C59BFD2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Lehrbuch</w:t>
            </w:r>
          </w:p>
          <w:p w14:paraId="6A209535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Internet</w:t>
            </w:r>
          </w:p>
          <w:p w14:paraId="7F08FBC0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14:paraId="16AEEB5D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4F8816F1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32E4F252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 Lehrervortrag</w:t>
            </w:r>
          </w:p>
          <w:p w14:paraId="1430F44E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 Gruppenarbeit</w:t>
            </w:r>
          </w:p>
          <w:p w14:paraId="351916E0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1E8F4E3E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7AB96335" w14:textId="77777777" w:rsidR="00600800" w:rsidRPr="00301226" w:rsidRDefault="00600800" w:rsidP="00600800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analytisch- synthetische Unterrichtsmethode</w:t>
            </w:r>
          </w:p>
          <w:p w14:paraId="351FDB6B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223178C1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5EF258A1" w14:textId="77777777" w:rsidR="00600800" w:rsidRDefault="00600800" w:rsidP="006008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Arbeitsanweisung zur Aufbewahrung von Schriftstücken</w:t>
            </w:r>
          </w:p>
          <w:p w14:paraId="123F147F" w14:textId="77777777" w:rsidR="00600800" w:rsidRPr="0044371B" w:rsidRDefault="00600800" w:rsidP="006008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371B">
              <w:rPr>
                <w:rFonts w:ascii="Arial" w:hAnsi="Arial" w:cs="Arial"/>
                <w:bCs/>
                <w:sz w:val="20"/>
                <w:szCs w:val="20"/>
              </w:rPr>
              <w:t xml:space="preserve">selbstständig erarbeitete Übersichten           </w:t>
            </w:r>
            <w:r w:rsidRPr="0044371B">
              <w:rPr>
                <w:rFonts w:ascii="Arial" w:hAnsi="Arial" w:cs="Arial"/>
                <w:bCs/>
                <w:sz w:val="20"/>
                <w:szCs w:val="20"/>
              </w:rPr>
              <w:br/>
              <w:t>zu Ordnungssystemen</w:t>
            </w:r>
          </w:p>
          <w:p w14:paraId="19021738" w14:textId="77777777" w:rsidR="00600800" w:rsidRDefault="00600800" w:rsidP="00600800">
            <w:pPr>
              <w:pStyle w:val="Listenabsatz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Registraturformen</w:t>
            </w:r>
            <w:proofErr w:type="spellEnd"/>
          </w:p>
          <w:p w14:paraId="4E7660DE" w14:textId="77777777" w:rsidR="00600800" w:rsidRDefault="00600800" w:rsidP="00133A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172F9" w14:textId="1097524D" w:rsidR="00133A52" w:rsidRPr="00133A52" w:rsidRDefault="00133A52" w:rsidP="00133A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Klassenarbeit</w:t>
            </w:r>
          </w:p>
        </w:tc>
      </w:tr>
    </w:tbl>
    <w:p w14:paraId="3278AC25" w14:textId="3E49A9F4" w:rsidR="002E7E47" w:rsidRPr="00301226" w:rsidRDefault="002E7E47">
      <w:pPr>
        <w:rPr>
          <w:rFonts w:ascii="Arial" w:hAnsi="Arial" w:cs="Arial"/>
          <w:bCs/>
        </w:rPr>
      </w:pPr>
    </w:p>
    <w:p w14:paraId="5B0AD6A7" w14:textId="77777777" w:rsidR="002C26C2" w:rsidRPr="00B955EF" w:rsidRDefault="002C26C2" w:rsidP="002C26C2">
      <w:pPr>
        <w:rPr>
          <w:u w:val="single"/>
        </w:rPr>
      </w:pPr>
      <w:r w:rsidRPr="00B955EF">
        <w:rPr>
          <w:u w:val="single"/>
        </w:rPr>
        <w:t>Abkürzungsverzeichnis</w:t>
      </w:r>
    </w:p>
    <w:p w14:paraId="49D99883" w14:textId="77777777" w:rsidR="002C26C2" w:rsidRDefault="002C26C2" w:rsidP="002C26C2">
      <w:r>
        <w:t>LF = Lernfeld, LS = Lernsituation; ZRW = Zeitrichtwert, D/K = Deutsch/Kommunikation, ABL = Arbeitsblatt, UG = Unterrichtsgespräch, KA = Klassenarbeit</w:t>
      </w:r>
    </w:p>
    <w:p w14:paraId="52B4E3B1" w14:textId="77777777" w:rsidR="002C26C2" w:rsidRDefault="002C26C2" w:rsidP="002C26C2"/>
    <w:p w14:paraId="008FD3EC" w14:textId="77777777" w:rsidR="002C26C2" w:rsidRDefault="002C26C2" w:rsidP="002C26C2"/>
    <w:p w14:paraId="28C1B750" w14:textId="77777777" w:rsidR="002C26C2" w:rsidRDefault="002C26C2" w:rsidP="002C26C2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AA242D8" w14:textId="77777777" w:rsidR="002C26C2" w:rsidRPr="00C94DD3" w:rsidRDefault="002C26C2" w:rsidP="002C26C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sectPr w:rsidR="002C26C2" w:rsidRPr="00C94DD3" w:rsidSect="006778B3">
      <w:headerReference w:type="default" r:id="rId7"/>
      <w:footerReference w:type="default" r:id="rId8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06C4" w14:textId="77777777" w:rsidR="00C84D15" w:rsidRDefault="00C84D15">
      <w:r>
        <w:separator/>
      </w:r>
    </w:p>
  </w:endnote>
  <w:endnote w:type="continuationSeparator" w:id="0">
    <w:p w14:paraId="09866BA7" w14:textId="77777777" w:rsidR="00C84D15" w:rsidRDefault="00C8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BD32" w14:textId="59338FDE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="00945406">
      <w:rPr>
        <w:rFonts w:ascii="Arial" w:hAnsi="Arial" w:cs="Arial"/>
        <w:sz w:val="18"/>
        <w:szCs w:val="18"/>
      </w:rPr>
      <w:t>Überarbeitung: 2020-1</w:t>
    </w:r>
    <w:r w:rsidR="00DD444F">
      <w:rPr>
        <w:rFonts w:ascii="Arial" w:hAnsi="Arial" w:cs="Arial"/>
        <w:sz w:val="18"/>
        <w:szCs w:val="18"/>
      </w:rPr>
      <w:t>1-05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B54112">
      <w:rPr>
        <w:rFonts w:ascii="Arial" w:hAnsi="Arial" w:cs="Arial"/>
        <w:noProof/>
        <w:sz w:val="18"/>
        <w:szCs w:val="18"/>
      </w:rPr>
      <w:t>4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B54112">
      <w:rPr>
        <w:rFonts w:ascii="Arial" w:hAnsi="Arial" w:cs="Arial"/>
        <w:noProof/>
        <w:sz w:val="18"/>
        <w:szCs w:val="18"/>
      </w:rPr>
      <w:t>4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2216" w14:textId="77777777" w:rsidR="00C84D15" w:rsidRDefault="00C84D15">
      <w:r>
        <w:separator/>
      </w:r>
    </w:p>
  </w:footnote>
  <w:footnote w:type="continuationSeparator" w:id="0">
    <w:p w14:paraId="5907D292" w14:textId="77777777" w:rsidR="00C84D15" w:rsidRDefault="00C8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6"/>
      <w:gridCol w:w="900"/>
      <w:gridCol w:w="12709"/>
      <w:gridCol w:w="1356"/>
    </w:tblGrid>
    <w:tr w:rsidR="00712AA6" w:rsidRPr="00712AA6" w14:paraId="69F5ED37" w14:textId="77777777" w:rsidTr="00712AA6">
      <w:tc>
        <w:tcPr>
          <w:tcW w:w="720" w:type="dxa"/>
          <w:shd w:val="clear" w:color="auto" w:fill="auto"/>
          <w:vAlign w:val="center"/>
        </w:tcPr>
        <w:p w14:paraId="2044B716" w14:textId="57580242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32A90DCE" wp14:editId="7417FD29">
                <wp:extent cx="361950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07308F14" w14:textId="669AB88E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1A837606" wp14:editId="17CE763D">
                <wp:extent cx="409575" cy="3714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ED9BB3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727B0D06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75AF87B4" w14:textId="79141BF9" w:rsidR="00A6267B" w:rsidRPr="00712AA6" w:rsidRDefault="00DA39ED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40538405" wp14:editId="2E5474DD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A3551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CD3"/>
    <w:multiLevelType w:val="hybridMultilevel"/>
    <w:tmpl w:val="6E24CF24"/>
    <w:lvl w:ilvl="0" w:tplc="42DC43C6">
      <w:numFmt w:val="bullet"/>
      <w:lvlText w:val="-"/>
      <w:lvlJc w:val="left"/>
      <w:pPr>
        <w:ind w:left="60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3155CA"/>
    <w:multiLevelType w:val="hybridMultilevel"/>
    <w:tmpl w:val="B7F0F314"/>
    <w:lvl w:ilvl="0" w:tplc="9D9CE10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269"/>
    <w:multiLevelType w:val="hybridMultilevel"/>
    <w:tmpl w:val="78445A86"/>
    <w:lvl w:ilvl="0" w:tplc="D9BA5C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0A09"/>
    <w:multiLevelType w:val="hybridMultilevel"/>
    <w:tmpl w:val="55B8E0CE"/>
    <w:lvl w:ilvl="0" w:tplc="E6DE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64E0731"/>
    <w:multiLevelType w:val="hybridMultilevel"/>
    <w:tmpl w:val="FAAC4114"/>
    <w:lvl w:ilvl="0" w:tplc="8F505E5A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2F45"/>
    <w:multiLevelType w:val="multilevel"/>
    <w:tmpl w:val="63D0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964BC"/>
    <w:multiLevelType w:val="multilevel"/>
    <w:tmpl w:val="63D0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E093B"/>
    <w:multiLevelType w:val="hybridMultilevel"/>
    <w:tmpl w:val="5F8CFD8E"/>
    <w:lvl w:ilvl="0" w:tplc="7E4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794656EB"/>
    <w:multiLevelType w:val="hybridMultilevel"/>
    <w:tmpl w:val="07629F16"/>
    <w:lvl w:ilvl="0" w:tplc="030EACA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9"/>
  </w:num>
  <w:num w:numId="5">
    <w:abstractNumId w:val="4"/>
  </w:num>
  <w:num w:numId="6">
    <w:abstractNumId w:val="9"/>
  </w:num>
  <w:num w:numId="7">
    <w:abstractNumId w:val="9"/>
  </w:num>
  <w:num w:numId="8">
    <w:abstractNumId w:val="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 w:numId="20">
    <w:abstractNumId w:val="8"/>
  </w:num>
  <w:num w:numId="21">
    <w:abstractNumId w:val="1"/>
  </w:num>
  <w:num w:numId="22">
    <w:abstractNumId w:val="5"/>
  </w:num>
  <w:num w:numId="23">
    <w:abstractNumId w:val="6"/>
    <w:lvlOverride w:ilvl="0">
      <w:startOverride w:val="2"/>
    </w:lvlOverride>
  </w:num>
  <w:num w:numId="24">
    <w:abstractNumId w:val="7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3B34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4DC6"/>
    <w:rsid w:val="00095270"/>
    <w:rsid w:val="00096291"/>
    <w:rsid w:val="0009793B"/>
    <w:rsid w:val="000A071F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58F"/>
    <w:rsid w:val="00111626"/>
    <w:rsid w:val="00112DE9"/>
    <w:rsid w:val="00113943"/>
    <w:rsid w:val="001215AF"/>
    <w:rsid w:val="00126BED"/>
    <w:rsid w:val="0012785D"/>
    <w:rsid w:val="00130F73"/>
    <w:rsid w:val="00131940"/>
    <w:rsid w:val="0013287A"/>
    <w:rsid w:val="00133A52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C1C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59BE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453F"/>
    <w:rsid w:val="001E6BF9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596C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3799E"/>
    <w:rsid w:val="0024134E"/>
    <w:rsid w:val="00241C7A"/>
    <w:rsid w:val="002428B5"/>
    <w:rsid w:val="002446AB"/>
    <w:rsid w:val="00246D67"/>
    <w:rsid w:val="002515B2"/>
    <w:rsid w:val="00253EAF"/>
    <w:rsid w:val="00254FBB"/>
    <w:rsid w:val="0025530D"/>
    <w:rsid w:val="00255DAB"/>
    <w:rsid w:val="002566C1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236B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DDC"/>
    <w:rsid w:val="002E13FA"/>
    <w:rsid w:val="002E167D"/>
    <w:rsid w:val="002E29A1"/>
    <w:rsid w:val="002E31A8"/>
    <w:rsid w:val="002E4408"/>
    <w:rsid w:val="002E7E47"/>
    <w:rsid w:val="002F136F"/>
    <w:rsid w:val="002F2EB5"/>
    <w:rsid w:val="002F41D6"/>
    <w:rsid w:val="0030122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2AFF"/>
    <w:rsid w:val="00334831"/>
    <w:rsid w:val="00335903"/>
    <w:rsid w:val="00337449"/>
    <w:rsid w:val="00337BBC"/>
    <w:rsid w:val="003427E8"/>
    <w:rsid w:val="00343386"/>
    <w:rsid w:val="003434D6"/>
    <w:rsid w:val="00344B78"/>
    <w:rsid w:val="00344FA9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F0587"/>
    <w:rsid w:val="003F1F59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71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040E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CF"/>
    <w:rsid w:val="005264F9"/>
    <w:rsid w:val="005266A1"/>
    <w:rsid w:val="00526D30"/>
    <w:rsid w:val="005276F3"/>
    <w:rsid w:val="00531326"/>
    <w:rsid w:val="00531FB5"/>
    <w:rsid w:val="005322D4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604D6"/>
    <w:rsid w:val="00561C0A"/>
    <w:rsid w:val="005621D9"/>
    <w:rsid w:val="00562448"/>
    <w:rsid w:val="005624C4"/>
    <w:rsid w:val="00563B7D"/>
    <w:rsid w:val="00565A50"/>
    <w:rsid w:val="00567510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0800"/>
    <w:rsid w:val="0060176F"/>
    <w:rsid w:val="00601CB6"/>
    <w:rsid w:val="00601E62"/>
    <w:rsid w:val="006020E4"/>
    <w:rsid w:val="00604C1C"/>
    <w:rsid w:val="006054F2"/>
    <w:rsid w:val="00606A97"/>
    <w:rsid w:val="00610654"/>
    <w:rsid w:val="00611671"/>
    <w:rsid w:val="00611D19"/>
    <w:rsid w:val="0061249B"/>
    <w:rsid w:val="00617739"/>
    <w:rsid w:val="00617917"/>
    <w:rsid w:val="00621E44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5EB9"/>
    <w:rsid w:val="0064628F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7F2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891"/>
    <w:rsid w:val="006E4AB2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3140"/>
    <w:rsid w:val="00723FB4"/>
    <w:rsid w:val="00724470"/>
    <w:rsid w:val="00730D7D"/>
    <w:rsid w:val="00733355"/>
    <w:rsid w:val="007336A1"/>
    <w:rsid w:val="0073649F"/>
    <w:rsid w:val="00740708"/>
    <w:rsid w:val="00740C14"/>
    <w:rsid w:val="00741398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23DE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6B0A"/>
    <w:rsid w:val="007B05C1"/>
    <w:rsid w:val="007B2B67"/>
    <w:rsid w:val="007B2DE2"/>
    <w:rsid w:val="007B2F1D"/>
    <w:rsid w:val="007B4B46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D3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05703"/>
    <w:rsid w:val="0081069D"/>
    <w:rsid w:val="0081477C"/>
    <w:rsid w:val="00814C69"/>
    <w:rsid w:val="00815FE8"/>
    <w:rsid w:val="0082000D"/>
    <w:rsid w:val="008228DF"/>
    <w:rsid w:val="00823988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77804"/>
    <w:rsid w:val="00877D45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10B9"/>
    <w:rsid w:val="008C42BD"/>
    <w:rsid w:val="008C5366"/>
    <w:rsid w:val="008D082A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5406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67C"/>
    <w:rsid w:val="00A2697C"/>
    <w:rsid w:val="00A27760"/>
    <w:rsid w:val="00A31E80"/>
    <w:rsid w:val="00A32B31"/>
    <w:rsid w:val="00A34362"/>
    <w:rsid w:val="00A34F07"/>
    <w:rsid w:val="00A3604E"/>
    <w:rsid w:val="00A36278"/>
    <w:rsid w:val="00A36A18"/>
    <w:rsid w:val="00A40A41"/>
    <w:rsid w:val="00A41C62"/>
    <w:rsid w:val="00A43DAA"/>
    <w:rsid w:val="00A459FB"/>
    <w:rsid w:val="00A47E2A"/>
    <w:rsid w:val="00A5043B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B5935"/>
    <w:rsid w:val="00AC2E52"/>
    <w:rsid w:val="00AC4156"/>
    <w:rsid w:val="00AC62CF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272F4"/>
    <w:rsid w:val="00B30A4C"/>
    <w:rsid w:val="00B3382B"/>
    <w:rsid w:val="00B34C73"/>
    <w:rsid w:val="00B34CD7"/>
    <w:rsid w:val="00B36598"/>
    <w:rsid w:val="00B36C14"/>
    <w:rsid w:val="00B36FF6"/>
    <w:rsid w:val="00B41194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4112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67045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346"/>
    <w:rsid w:val="00BE0680"/>
    <w:rsid w:val="00BE1A51"/>
    <w:rsid w:val="00BE65E6"/>
    <w:rsid w:val="00BE7BF8"/>
    <w:rsid w:val="00BF228D"/>
    <w:rsid w:val="00BF5C77"/>
    <w:rsid w:val="00BF686E"/>
    <w:rsid w:val="00BF7E1D"/>
    <w:rsid w:val="00C0288D"/>
    <w:rsid w:val="00C0671F"/>
    <w:rsid w:val="00C104F8"/>
    <w:rsid w:val="00C1122F"/>
    <w:rsid w:val="00C127CA"/>
    <w:rsid w:val="00C12C4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5725"/>
    <w:rsid w:val="00C25750"/>
    <w:rsid w:val="00C3023B"/>
    <w:rsid w:val="00C30D14"/>
    <w:rsid w:val="00C315D9"/>
    <w:rsid w:val="00C3182B"/>
    <w:rsid w:val="00C3366A"/>
    <w:rsid w:val="00C33945"/>
    <w:rsid w:val="00C34136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10E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0E1"/>
    <w:rsid w:val="00D46548"/>
    <w:rsid w:val="00D46A96"/>
    <w:rsid w:val="00D47A87"/>
    <w:rsid w:val="00D50915"/>
    <w:rsid w:val="00D5117A"/>
    <w:rsid w:val="00D52F7A"/>
    <w:rsid w:val="00D53593"/>
    <w:rsid w:val="00D54B3D"/>
    <w:rsid w:val="00D55F7B"/>
    <w:rsid w:val="00D56DF7"/>
    <w:rsid w:val="00D572CC"/>
    <w:rsid w:val="00D60CFC"/>
    <w:rsid w:val="00D60F0E"/>
    <w:rsid w:val="00D61A47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4A2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6BB8"/>
    <w:rsid w:val="00DA0E39"/>
    <w:rsid w:val="00DA39ED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D04FB"/>
    <w:rsid w:val="00DD3083"/>
    <w:rsid w:val="00DD41FF"/>
    <w:rsid w:val="00DD444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6586"/>
    <w:rsid w:val="00E47506"/>
    <w:rsid w:val="00E534E4"/>
    <w:rsid w:val="00E543E0"/>
    <w:rsid w:val="00E56637"/>
    <w:rsid w:val="00E60F4C"/>
    <w:rsid w:val="00E666BA"/>
    <w:rsid w:val="00E67EBB"/>
    <w:rsid w:val="00E70808"/>
    <w:rsid w:val="00E72F83"/>
    <w:rsid w:val="00E73405"/>
    <w:rsid w:val="00E73903"/>
    <w:rsid w:val="00E73910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4787"/>
    <w:rsid w:val="00FB61A5"/>
    <w:rsid w:val="00FC05D5"/>
    <w:rsid w:val="00FC1533"/>
    <w:rsid w:val="00FC19B0"/>
    <w:rsid w:val="00FC30A8"/>
    <w:rsid w:val="00FC6B69"/>
    <w:rsid w:val="00FC79F2"/>
    <w:rsid w:val="00FC7CD2"/>
    <w:rsid w:val="00FD35F8"/>
    <w:rsid w:val="00FD3CB6"/>
    <w:rsid w:val="00FD43AD"/>
    <w:rsid w:val="00FD47FD"/>
    <w:rsid w:val="00FD6200"/>
    <w:rsid w:val="00FD65C4"/>
    <w:rsid w:val="00FD7846"/>
    <w:rsid w:val="00FD7BC2"/>
    <w:rsid w:val="00FE1427"/>
    <w:rsid w:val="00FE3802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6EC7BE"/>
  <w15:chartTrackingRefBased/>
  <w15:docId w15:val="{684A9BE8-844D-42C4-942A-5FDA480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F6E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1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272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D3B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11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KeinLeerraum">
    <w:name w:val="No Spacing"/>
    <w:uiPriority w:val="1"/>
    <w:qFormat/>
    <w:rsid w:val="00AB593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Heiko Strauch</cp:lastModifiedBy>
  <cp:revision>2</cp:revision>
  <cp:lastPrinted>2020-10-07T19:05:00Z</cp:lastPrinted>
  <dcterms:created xsi:type="dcterms:W3CDTF">2021-10-19T09:47:00Z</dcterms:created>
  <dcterms:modified xsi:type="dcterms:W3CDTF">2021-10-19T09:47:00Z</dcterms:modified>
</cp:coreProperties>
</file>